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0" w:rsidRPr="0015509F" w:rsidRDefault="00401380" w:rsidP="00401380">
      <w:pPr>
        <w:widowControl/>
        <w:spacing w:line="525" w:lineRule="atLeast"/>
        <w:outlineLvl w:val="1"/>
        <w:rPr>
          <w:rFonts w:ascii="黑体" w:eastAsia="黑体" w:hAnsi="黑体" w:cs="宋体"/>
          <w:bCs/>
          <w:kern w:val="36"/>
          <w:sz w:val="32"/>
          <w:szCs w:val="32"/>
        </w:rPr>
      </w:pPr>
      <w:r w:rsidRPr="0015509F">
        <w:rPr>
          <w:rFonts w:ascii="黑体" w:eastAsia="黑体" w:hAnsi="黑体" w:cs="宋体" w:hint="eastAsia"/>
          <w:bCs/>
          <w:kern w:val="36"/>
          <w:sz w:val="32"/>
          <w:szCs w:val="32"/>
        </w:rPr>
        <w:t>附件</w:t>
      </w:r>
      <w:bookmarkStart w:id="0" w:name="_GoBack"/>
      <w:bookmarkEnd w:id="0"/>
    </w:p>
    <w:p w:rsidR="00401380" w:rsidRDefault="00401380" w:rsidP="00401380">
      <w:pPr>
        <w:widowControl/>
        <w:spacing w:line="525" w:lineRule="atLeast"/>
        <w:jc w:val="center"/>
        <w:outlineLvl w:val="1"/>
        <w:rPr>
          <w:rFonts w:ascii="华文中宋" w:eastAsia="华文中宋" w:hAnsi="华文中宋" w:cs="宋体"/>
          <w:bCs/>
          <w:kern w:val="36"/>
          <w:sz w:val="36"/>
          <w:szCs w:val="36"/>
        </w:rPr>
      </w:pPr>
    </w:p>
    <w:p w:rsidR="00401380" w:rsidRPr="004F0A69" w:rsidRDefault="00401380" w:rsidP="00401380">
      <w:pPr>
        <w:widowControl/>
        <w:spacing w:line="525" w:lineRule="atLeast"/>
        <w:jc w:val="center"/>
        <w:outlineLvl w:val="1"/>
        <w:rPr>
          <w:rFonts w:ascii="华文中宋" w:eastAsia="华文中宋" w:hAnsi="华文中宋" w:cs="宋体"/>
          <w:bCs/>
          <w:kern w:val="36"/>
          <w:sz w:val="36"/>
          <w:szCs w:val="36"/>
        </w:rPr>
      </w:pPr>
    </w:p>
    <w:p w:rsidR="00401380" w:rsidRPr="004F0A69" w:rsidRDefault="00401380" w:rsidP="00401380">
      <w:pPr>
        <w:widowControl/>
        <w:spacing w:line="525" w:lineRule="atLeast"/>
        <w:jc w:val="center"/>
        <w:outlineLvl w:val="1"/>
        <w:rPr>
          <w:rFonts w:ascii="华文中宋" w:eastAsia="华文中宋" w:hAnsi="华文中宋" w:cs="宋体"/>
          <w:b/>
          <w:bCs/>
          <w:kern w:val="36"/>
          <w:sz w:val="44"/>
          <w:szCs w:val="44"/>
        </w:rPr>
      </w:pPr>
      <w:r w:rsidRPr="004F0A69">
        <w:rPr>
          <w:rFonts w:ascii="华文中宋" w:eastAsia="华文中宋" w:hAnsi="华文中宋" w:cs="宋体" w:hint="eastAsia"/>
          <w:b/>
          <w:bCs/>
          <w:kern w:val="36"/>
          <w:sz w:val="44"/>
          <w:szCs w:val="44"/>
        </w:rPr>
        <w:t>中国资产评估协会会费管理办法</w:t>
      </w:r>
    </w:p>
    <w:p w:rsidR="00401380" w:rsidRPr="004F0A69" w:rsidRDefault="00401380" w:rsidP="00401380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4F0A69"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401380" w:rsidRPr="004F0A69" w:rsidRDefault="00401380" w:rsidP="00401380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F0A6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第一章  总  则</w:t>
      </w:r>
    </w:p>
    <w:p w:rsidR="00401380" w:rsidRDefault="00401380" w:rsidP="00401380">
      <w:pPr>
        <w:widowControl/>
        <w:spacing w:line="360" w:lineRule="auto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第一条  为规范中国资产评估协会（以下简称中评协）会费收取和使用，保障中评协充分履行《中华人民共和国资产评估法》规定的职责，根据《中国资产评估协会章程》（以下简称《章程》）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等有关规定，制定本办法。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第二条  中评协会员应当按照本办法的规定交纳会费。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第三条  会费分为单位会员会费和个人会员会费。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第四条  会员会费按年度收取。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01380" w:rsidRPr="004F0A69" w:rsidRDefault="00401380" w:rsidP="00401380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F0A6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第二章  会费交纳标准及程序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第五条  单位会员会费标准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评估机构会员上一个会计年度内从事各项业务取得的收入总和（以下称年度收入总和）在300万元（含）以下的，交纳10000元；300万元以上至3000万元（含）以下的，交纳50000元；3000万元以上的，交纳800000元。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评估机构会员按上述标准计算的会费额度高于原标准</w:t>
      </w:r>
      <w:r w:rsidRPr="004F0A69">
        <w:rPr>
          <w:rFonts w:ascii="仿宋" w:eastAsia="仿宋" w:hAnsi="仿宋" w:hint="eastAsia"/>
          <w:sz w:val="32"/>
          <w:szCs w:val="32"/>
        </w:rPr>
        <w:t>（中评协〔2005〕101号）</w:t>
      </w: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计算额度的，高出部分免予交纳。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评估机构会员应当按要求如实填报相关财务状况，提供经审计的财务报表或相关纳税申报表，并按规定上报机构备案所在地地方协会和中评协。其中，评估机构会员会费免交的相关信息，应在年度资产评估行业会计报表中予以单独列示。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第六条  个人会员会费标准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执业会员交纳4000元。其中，非</w:t>
      </w:r>
      <w:r w:rsidRPr="004F0A69">
        <w:rPr>
          <w:rFonts w:ascii="仿宋" w:eastAsia="仿宋" w:hAnsi="仿宋" w:cs="仿宋_GB2312"/>
          <w:sz w:val="32"/>
          <w:szCs w:val="32"/>
        </w:rPr>
        <w:t>证券资格评估机构</w:t>
      </w: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执业会员</w:t>
      </w:r>
      <w:r w:rsidRPr="004F0A69">
        <w:rPr>
          <w:rFonts w:ascii="仿宋" w:eastAsia="仿宋" w:hAnsi="仿宋" w:hint="eastAsia"/>
          <w:sz w:val="32"/>
          <w:szCs w:val="32"/>
        </w:rPr>
        <w:t>（不含证券资格评估机构分支机构执业会员）</w:t>
      </w: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减免一半交纳。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第七条  评估机构应当于每年4月30日以前向其所在地地方协会交纳当年度单位会员会费，其分支机构的单位会员会费按属地原则交所在地地方协会。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第八条  个人会员会费每年4月30日以前通过所在评估机构会员单位上交所在地地方协会。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个人会员会费以评估机构参加当年度执业会员年检人数计算。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第九条  评估机构因遭遇自然灾害等不可抗力导致交纳单位会员会费困难的，可以向所在地地方协会提出申请，并报中评协同意后予以减免。</w:t>
      </w:r>
    </w:p>
    <w:p w:rsidR="00401380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第十条  每年5月31日前，地方协会应当将收缴的单位会员及个人会员会费按40%的比例划交中评协。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01380" w:rsidRPr="004F0A69" w:rsidRDefault="00401380" w:rsidP="00401380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F0A6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第三章  会费的使用及管理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第十一条  会费开支范围：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（一）召开会员代表大会、理事会、常务理事会、会长会等的各项支出；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（二）开展行业党建工作的支出；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（三）制定并组织实施行业发展规划和目标的支出；  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（四）制定资产评估执业准则和职业道德准则等自律管理制度规范的支出；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（五）开展行业自律监管、检查及奖惩的支出；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（六）组织开展会员管理及继续教育的支出；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（七）开展行业国际交流与合作的支出；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（八）开展理论课题研究和市场业务拓展的支出；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（九）开展行业信息化建设及对外宣传的支出；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（十）开展专门委员会、专业委员会活动的支出；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（十一）保障会员依法开展业务，维护会员合法权益的支出；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（十二）发生的社会公益性捐赠支出；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（十三）中评协秘书处的日常支出；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（十四）其他的必要支出。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第十二条  中评协年度会费收缴、支出状况，每年应当经会计师事务所审计并向常务理事会报告。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第十三条  会费收支情况接受会员代表大会的审查。</w:t>
      </w:r>
    </w:p>
    <w:p w:rsidR="00401380" w:rsidRPr="004F0A69" w:rsidRDefault="00401380" w:rsidP="00401380">
      <w:pPr>
        <w:widowControl/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第十四条  中评协应当集中</w:t>
      </w:r>
      <w:r w:rsidRPr="004F0A69">
        <w:rPr>
          <w:rFonts w:ascii="仿宋" w:eastAsia="仿宋" w:hAnsi="仿宋" w:cs="MS Mincho" w:hint="eastAsia"/>
          <w:sz w:val="32"/>
          <w:szCs w:val="32"/>
        </w:rPr>
        <w:t>公示并定期更新会费收费项目、收费标准、收费依据等信息，建立收费信息主动公开长效机制。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第十五条  中评协应当按国家的有关规定和要求，建立并严格执行相关财务会计管理制度。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第十六条  中评协应当对会费交纳情况进行督促检查。会员未按时足额交纳会费或拒绝交纳会费的，由中评协或地方协会按照《章程》等有关规定予以处理。</w:t>
      </w:r>
    </w:p>
    <w:p w:rsidR="00401380" w:rsidRPr="004F0A69" w:rsidRDefault="00401380" w:rsidP="0040138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01380" w:rsidRPr="004F0A69" w:rsidRDefault="00401380" w:rsidP="00401380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F0A6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第四章  附则</w:t>
      </w:r>
    </w:p>
    <w:p w:rsidR="00401380" w:rsidRPr="004F0A69" w:rsidRDefault="00401380" w:rsidP="0040138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第十七条  本办法自常务理事会审议通过之日起施行，待下次全国会员代表大会予以追认。</w:t>
      </w:r>
    </w:p>
    <w:p w:rsidR="00401380" w:rsidRPr="004F0A69" w:rsidRDefault="00401380" w:rsidP="00401380">
      <w:pPr>
        <w:widowControl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0A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第十八条  本办法由中评协常务理事会负责解释。</w:t>
      </w:r>
    </w:p>
    <w:p w:rsidR="00401380" w:rsidRPr="004F0A69" w:rsidRDefault="00401380" w:rsidP="0040138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401380" w:rsidRPr="004F0A69" w:rsidRDefault="00401380" w:rsidP="00401380">
      <w:pPr>
        <w:spacing w:line="360" w:lineRule="auto"/>
        <w:rPr>
          <w:rFonts w:ascii="仿宋" w:eastAsia="仿宋" w:hAnsi="仿宋"/>
          <w:color w:val="333333"/>
          <w:sz w:val="30"/>
          <w:szCs w:val="30"/>
        </w:rPr>
      </w:pPr>
    </w:p>
    <w:p w:rsidR="00401380" w:rsidRPr="004F0A69" w:rsidRDefault="00401380" w:rsidP="00401380">
      <w:pPr>
        <w:spacing w:line="360" w:lineRule="auto"/>
        <w:rPr>
          <w:rFonts w:ascii="仿宋" w:eastAsia="仿宋" w:hAnsi="仿宋"/>
          <w:color w:val="333333"/>
          <w:sz w:val="30"/>
          <w:szCs w:val="30"/>
        </w:rPr>
      </w:pPr>
    </w:p>
    <w:p w:rsidR="00401380" w:rsidRPr="004F0A69" w:rsidRDefault="00401380" w:rsidP="00401380">
      <w:pPr>
        <w:spacing w:line="360" w:lineRule="auto"/>
        <w:rPr>
          <w:rFonts w:ascii="仿宋" w:eastAsia="仿宋" w:hAnsi="仿宋"/>
          <w:color w:val="333333"/>
          <w:sz w:val="30"/>
          <w:szCs w:val="30"/>
        </w:rPr>
      </w:pPr>
    </w:p>
    <w:p w:rsidR="00CE44F1" w:rsidRPr="00401380" w:rsidRDefault="00CE44F1"/>
    <w:sectPr w:rsidR="00CE44F1" w:rsidRPr="00401380" w:rsidSect="00ED2352">
      <w:footerReference w:type="even" r:id="rId7"/>
      <w:footerReference w:type="default" r:id="rId8"/>
      <w:pgSz w:w="11906" w:h="16838" w:code="9"/>
      <w:pgMar w:top="1440" w:right="1531" w:bottom="1440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13" w:rsidRDefault="00521713">
      <w:r>
        <w:separator/>
      </w:r>
    </w:p>
  </w:endnote>
  <w:endnote w:type="continuationSeparator" w:id="0">
    <w:p w:rsidR="00521713" w:rsidRDefault="005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9" w:rsidRPr="00B03262" w:rsidRDefault="00401380">
    <w:pPr>
      <w:pStyle w:val="a3"/>
      <w:rPr>
        <w:rFonts w:ascii="仿宋" w:eastAsia="仿宋" w:hAnsi="仿宋"/>
        <w:sz w:val="32"/>
        <w:szCs w:val="32"/>
      </w:rPr>
    </w:pPr>
    <w:r w:rsidRPr="00B03262">
      <w:rPr>
        <w:rFonts w:ascii="仿宋" w:eastAsia="仿宋" w:hAnsi="仿宋"/>
        <w:sz w:val="32"/>
        <w:szCs w:val="32"/>
      </w:rPr>
      <w:fldChar w:fldCharType="begin"/>
    </w:r>
    <w:r w:rsidRPr="00B03262">
      <w:rPr>
        <w:rFonts w:ascii="仿宋" w:eastAsia="仿宋" w:hAnsi="仿宋"/>
        <w:sz w:val="32"/>
        <w:szCs w:val="32"/>
      </w:rPr>
      <w:instrText>PAGE   \* MERGEFORMAT</w:instrText>
    </w:r>
    <w:r w:rsidRPr="00B03262">
      <w:rPr>
        <w:rFonts w:ascii="仿宋" w:eastAsia="仿宋" w:hAnsi="仿宋"/>
        <w:sz w:val="32"/>
        <w:szCs w:val="32"/>
      </w:rPr>
      <w:fldChar w:fldCharType="separate"/>
    </w:r>
    <w:r w:rsidRPr="00ED2352">
      <w:rPr>
        <w:rFonts w:ascii="仿宋" w:eastAsia="仿宋" w:hAnsi="仿宋"/>
        <w:noProof/>
        <w:sz w:val="32"/>
        <w:szCs w:val="32"/>
        <w:lang w:val="zh-CN"/>
      </w:rPr>
      <w:t>-</w:t>
    </w:r>
    <w:r>
      <w:rPr>
        <w:rFonts w:ascii="仿宋" w:eastAsia="仿宋" w:hAnsi="仿宋"/>
        <w:noProof/>
        <w:sz w:val="32"/>
        <w:szCs w:val="32"/>
      </w:rPr>
      <w:t xml:space="preserve"> 2 -</w:t>
    </w:r>
    <w:r w:rsidRPr="00B03262">
      <w:rPr>
        <w:rFonts w:ascii="仿宋" w:eastAsia="仿宋" w:hAnsi="仿宋"/>
        <w:sz w:val="32"/>
        <w:szCs w:val="32"/>
      </w:rPr>
      <w:fldChar w:fldCharType="end"/>
    </w:r>
  </w:p>
  <w:p w:rsidR="007B40C9" w:rsidRPr="00B03262" w:rsidRDefault="00521713" w:rsidP="00B03262">
    <w:pPr>
      <w:pStyle w:val="a3"/>
      <w:jc w:val="right"/>
      <w:rPr>
        <w:rFonts w:ascii="仿宋" w:eastAsia="仿宋" w:hAnsi="仿宋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CA" w:rsidRPr="00451FCA" w:rsidRDefault="00401380">
    <w:pPr>
      <w:pStyle w:val="a3"/>
      <w:jc w:val="center"/>
      <w:rPr>
        <w:sz w:val="21"/>
        <w:szCs w:val="21"/>
      </w:rPr>
    </w:pPr>
    <w:r w:rsidRPr="00451FCA">
      <w:rPr>
        <w:sz w:val="21"/>
        <w:szCs w:val="21"/>
      </w:rPr>
      <w:fldChar w:fldCharType="begin"/>
    </w:r>
    <w:r w:rsidRPr="00451FCA">
      <w:rPr>
        <w:sz w:val="21"/>
        <w:szCs w:val="21"/>
      </w:rPr>
      <w:instrText>PAGE   \* MERGEFORMAT</w:instrText>
    </w:r>
    <w:r w:rsidRPr="00451FCA">
      <w:rPr>
        <w:sz w:val="21"/>
        <w:szCs w:val="21"/>
      </w:rPr>
      <w:fldChar w:fldCharType="separate"/>
    </w:r>
    <w:r w:rsidR="00521713" w:rsidRPr="00521713">
      <w:rPr>
        <w:noProof/>
        <w:sz w:val="21"/>
        <w:szCs w:val="21"/>
        <w:lang w:val="zh-CN"/>
      </w:rPr>
      <w:t>-</w:t>
    </w:r>
    <w:r w:rsidR="00521713">
      <w:rPr>
        <w:noProof/>
        <w:sz w:val="21"/>
        <w:szCs w:val="21"/>
      </w:rPr>
      <w:t xml:space="preserve"> 1 -</w:t>
    </w:r>
    <w:r w:rsidRPr="00451FCA">
      <w:rPr>
        <w:sz w:val="21"/>
        <w:szCs w:val="21"/>
      </w:rPr>
      <w:fldChar w:fldCharType="end"/>
    </w:r>
  </w:p>
  <w:p w:rsidR="007B40C9" w:rsidRPr="00B252EB" w:rsidRDefault="00521713" w:rsidP="00B252EB">
    <w:pPr>
      <w:pStyle w:val="a3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13" w:rsidRDefault="00521713">
      <w:r>
        <w:separator/>
      </w:r>
    </w:p>
  </w:footnote>
  <w:footnote w:type="continuationSeparator" w:id="0">
    <w:p w:rsidR="00521713" w:rsidRDefault="0052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0"/>
    <w:rsid w:val="00401380"/>
    <w:rsid w:val="00521713"/>
    <w:rsid w:val="008D6119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13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13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0</DocSecurity>
  <Lines>10</Lines>
  <Paragraphs>3</Paragraphs>
  <ScaleCrop>false</ScaleCrop>
  <Company>WIN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戴尔</cp:lastModifiedBy>
  <cp:revision>2</cp:revision>
  <dcterms:created xsi:type="dcterms:W3CDTF">2021-01-15T00:55:00Z</dcterms:created>
  <dcterms:modified xsi:type="dcterms:W3CDTF">2021-01-15T00:55:00Z</dcterms:modified>
</cp:coreProperties>
</file>